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The New Madrid Earthquakes</w:t>
      </w:r>
    </w:p>
    <w:p>
      <w:pPr>
        <w:spacing w:after="240"/>
      </w:pPr>
      <w:r>
        <w:rPr>
          <w:color w:val="4A564C"/>
          <w:sz w:val="26"/>
          <w:szCs w:val="26"/>
        </w:rPr>
        <w:t xml:space="preserve">When the Mississippi ran backward, right in our own backyard</w:t>
      </w:r>
    </w:p>
    <w:p>
      <w:pPr>
        <w:pStyle w:val="Heading2"/>
      </w:pPr>
      <w:r>
        <w:t xml:space="preserve">Three great quakes</w:t>
      </w:r>
    </w:p>
    <w:tbl>
      <w:tblPr>
        <w:tblW w:type="dxa" w:w="9360"/>
        <w:tblBorders>
          <w:top w:val="single" w:color="C9D6C0" w:sz="4"/>
          <w:left w:val="single" w:color="C9D6C0" w:sz="4"/>
          <w:bottom w:val="single" w:color="C9D6C0" w:sz="4"/>
          <w:right w:val="single" w:color="C9D6C0" w:sz="4"/>
          <w:insideH w:val="single" w:color="C9D6C0" w:sz="4"/>
          <w:insideV w:val="single" w:color="C9D6C0" w:sz="4"/>
        </w:tblBorders>
      </w:tblPr>
      <w:tblGrid>
        <w:gridCol w:w="2700"/>
        <w:gridCol w:w="2700"/>
        <w:gridCol w:w="3960"/>
      </w:tblGrid>
      <w:tr>
        <w:trPr>
          <w:tblHeader/>
        </w:trPr>
        <w:tc>
          <w:tcPr>
            <w:tcW w:type="dxa" w:w="2700"/>
            <w:shd w:fill="1E2A2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Date</w:t>
            </w:r>
          </w:p>
        </w:tc>
        <w:tc>
          <w:tcPr>
            <w:tcW w:type="dxa" w:w="2700"/>
            <w:shd w:fill="1E2A2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Estimated magnitude</w:t>
            </w:r>
          </w:p>
        </w:tc>
        <w:tc>
          <w:tcPr>
            <w:tcW w:type="dxa" w:w="3960"/>
            <w:shd w:fill="1E2A2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What happened</w:t>
            </w:r>
          </w:p>
        </w:tc>
      </w:tr>
      <w:tr>
        <w:tc>
          <w:tcPr>
            <w:tcW w:type="dxa" w:w="27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1E2A22"/>
                <w:sz w:val="20"/>
                <w:szCs w:val="20"/>
              </w:rPr>
              <w:t xml:space="preserve">December 16, 1811</w:t>
            </w:r>
          </w:p>
        </w:tc>
        <w:tc>
          <w:tcPr>
            <w:tcW w:type="dxa" w:w="27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E2A22"/>
                <w:sz w:val="20"/>
                <w:szCs w:val="20"/>
              </w:rPr>
              <w:t xml:space="preserve">About 7</w:t>
            </w:r>
          </w:p>
        </w:tc>
        <w:tc>
          <w:tcPr>
            <w:tcW w:type="dxa" w:w="39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E2A22"/>
                <w:sz w:val="20"/>
                <w:szCs w:val="20"/>
              </w:rPr>
              <w:t xml:space="preserve">Struck at 2 a.m. in northeast Arkansas</w:t>
            </w:r>
          </w:p>
        </w:tc>
      </w:tr>
      <w:tr>
        <w:tc>
          <w:tcPr>
            <w:tcW w:type="dxa" w:w="27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1E2A22"/>
                <w:sz w:val="20"/>
                <w:szCs w:val="20"/>
              </w:rPr>
              <w:t xml:space="preserve">January 23, 1812</w:t>
            </w:r>
          </w:p>
        </w:tc>
        <w:tc>
          <w:tcPr>
            <w:tcW w:type="dxa" w:w="27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E2A22"/>
                <w:sz w:val="20"/>
                <w:szCs w:val="20"/>
              </w:rPr>
              <w:t xml:space="preserve">About 7</w:t>
            </w:r>
          </w:p>
        </w:tc>
        <w:tc>
          <w:tcPr>
            <w:tcW w:type="dxa" w:w="39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E2A22"/>
                <w:sz w:val="20"/>
                <w:szCs w:val="20"/>
              </w:rPr>
              <w:t xml:space="preserve">Centered in Missouri's Bootheel</w:t>
            </w:r>
          </w:p>
        </w:tc>
      </w:tr>
      <w:tr>
        <w:tc>
          <w:tcPr>
            <w:tcW w:type="dxa" w:w="27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1E2A22"/>
                <w:sz w:val="20"/>
                <w:szCs w:val="20"/>
              </w:rPr>
              <w:t xml:space="preserve">February 7, 1812</w:t>
            </w:r>
          </w:p>
        </w:tc>
        <w:tc>
          <w:tcPr>
            <w:tcW w:type="dxa" w:w="27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E2A22"/>
                <w:sz w:val="20"/>
                <w:szCs w:val="20"/>
              </w:rPr>
              <w:t xml:space="preserve">About 7 or more</w:t>
            </w:r>
          </w:p>
        </w:tc>
        <w:tc>
          <w:tcPr>
            <w:tcW w:type="dxa" w:w="39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E2A22"/>
                <w:sz w:val="20"/>
                <w:szCs w:val="20"/>
              </w:rPr>
              <w:t xml:space="preserve">Destroyed the town of New Madrid, Missouri</w:t>
            </w:r>
          </w:p>
        </w:tc>
      </w:tr>
    </w:tbl>
    <w:p>
      <w:pPr>
        <w:spacing w:after="160" w:before="120"/>
      </w:pPr>
      <w:r>
        <w:rPr>
          <w:i/>
          <w:iCs/>
          <w:color w:val="4A564C"/>
        </w:rPr>
        <w:t xml:space="preserve">Scientists still debate the exact sizes; estimates run from about 7 to 7.5. Thousands of aftershocks followed.</w:t>
      </w:r>
    </w:p>
    <w:p>
      <w:pPr>
        <w:pStyle w:val="Heading2"/>
      </w:pPr>
      <w:r>
        <w:t xml:space="preserve">What people saw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The river ran backward: </w:t>
      </w:r>
      <w:r>
        <w:t xml:space="preserve">The Mississippi briefly flowed upstream in places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A new lake: </w:t>
      </w:r>
      <w:r>
        <w:t xml:space="preserve">Reelfoot Lake formed in northwest Tennessee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Felt far away: </w:t>
      </w:r>
      <w:r>
        <w:t xml:space="preserve">Shaking was felt across much of the eastern U.S.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The land changed: </w:t>
      </w:r>
      <w:r>
        <w:t xml:space="preserve">Sand blows, sunken land and new waterfalls</w:t>
      </w:r>
    </w:p>
    <w:p>
      <w:pPr>
        <w:pStyle w:val="Heading2"/>
      </w:pPr>
      <w:r>
        <w:t xml:space="preserve">Is it still active?</w:t>
      </w:r>
    </w:p>
    <w:p>
      <w:pPr>
        <w:pStyle w:val="Heading3"/>
      </w:pPr>
      <w:r>
        <w:t xml:space="preserve">Yes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Small quakes happen there regularly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The fault zone sits under Memphis and nearby towns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Eastern ground carries shaking much farther than in California</w:t>
      </w:r>
    </w:p>
    <w:p>
      <w:pPr>
        <w:pStyle w:val="Heading3"/>
      </w:pPr>
      <w:r>
        <w:t xml:space="preserve">What to know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The USGS estimates a 25-40% chance of a magnitude 6 or larger there in 50 years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Secure tall furniture and water heaters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Drop, cover and hold on when shaking starts</w:t>
      </w:r>
    </w:p>
    <w:p>
      <w:pPr>
        <w:pStyle w:val="Heading2"/>
      </w:pPr>
      <w:r>
        <w:t xml:space="preserve">Remember</w:t>
      </w:r>
    </w:p>
    <w:p>
      <w:pPr>
        <w:pBdr>
          <w:left w:val="single" w:color="E8772E" w:sz="24" w:space="8"/>
        </w:pBdr>
        <w:shd w:fill="EEF2EC" w:color="auto" w:val="clear"/>
        <w:spacing w:after="120" w:before="120"/>
        <w:ind w:left="200"/>
      </w:pPr>
      <w:r>
        <w:rPr>
          <w:b/>
          <w:bCs/>
          <w:color w:val="1E2A22"/>
          <w:sz w:val="26"/>
          <w:szCs w:val="26"/>
        </w:rPr>
        <w:t xml:space="preserve">The biggest earthquakes east of the Rockies happened next door to Arkansas and Tennessee.</w:t>
      </w:r>
    </w:p>
    <w:sectPr>
      <w:footerReference w:type="default" r:id="rId6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4A564C"/>
        <w:sz w:val="18"/>
        <w:szCs w:val="18"/>
      </w:rPr>
      <w:t xml:space="preserve">Do Interesting Things · 11 of 16 · Page </w:t>
    </w:r>
    <w:r>
      <w:rPr>
        <w:color w:val="4A564C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E2A22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80"/>
    </w:pPr>
    <w:rPr>
      <w:rFonts w:ascii="Cambria" w:cs="Cambria" w:eastAsia="Cambria" w:hAnsi="Cambria"/>
      <w:b/>
      <w:bCs/>
      <w:color w:val="1E2A22"/>
      <w:sz w:val="52"/>
      <w:szCs w:val="52"/>
    </w:rPr>
  </w:style>
  <w:style w:type="paragraph" w:styleId="Heading2">
    <w:name w:val="Heading 2"/>
    <w:basedOn w:val="Normal"/>
    <w:next w:val="Normal"/>
    <w:qFormat/>
    <w:pPr>
      <w:spacing w:after="120" w:before="320"/>
      <w:outlineLvl w:val="1"/>
    </w:pPr>
    <w:rPr>
      <w:rFonts w:ascii="Cambria" w:cs="Cambria" w:eastAsia="Cambria" w:hAnsi="Cambria"/>
      <w:b/>
      <w:bCs/>
      <w:color w:val="4F6B45"/>
      <w:sz w:val="32"/>
      <w:szCs w:val="32"/>
    </w:rPr>
  </w:style>
  <w:style w:type="paragraph" w:styleId="Heading3">
    <w:name w:val="Heading 3"/>
    <w:basedOn w:val="Normal"/>
    <w:next w:val="Normal"/>
    <w:qFormat/>
    <w:pPr>
      <w:spacing w:after="80" w:before="200"/>
      <w:outlineLvl w:val="2"/>
    </w:pPr>
    <w:rPr>
      <w:rFonts w:ascii="Cambria" w:cs="Cambria" w:eastAsia="Cambria" w:hAnsi="Cambria"/>
      <w:b/>
      <w:bCs/>
      <w:color w:val="1E2A22"/>
      <w:sz w:val="26"/>
      <w:szCs w:val="2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New Madrid Earthquakes</dc:title>
  <dc:creator>Do Interesting Things</dc:creator>
  <cp:lastModifiedBy>Un-named</cp:lastModifiedBy>
  <cp:revision>1</cp:revision>
  <dcterms:created xsi:type="dcterms:W3CDTF">2026-10-22T21:11:02.929Z</dcterms:created>
  <dcterms:modified xsi:type="dcterms:W3CDTF">2026-10-22T21:11:02.929Z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